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7563" w14:textId="2F762D7B" w:rsidR="00537DDB" w:rsidRDefault="00537DDB" w:rsidP="00537DDB">
      <w:pPr>
        <w:jc w:val="center"/>
        <w:rPr>
          <w:rFonts w:ascii="Avenir Next LT Pro" w:hAnsi="Avenir Next LT Pro"/>
          <w:b/>
          <w:bCs/>
          <w:sz w:val="40"/>
          <w:szCs w:val="40"/>
        </w:rPr>
      </w:pPr>
      <w:r w:rsidRPr="00732BEB">
        <w:rPr>
          <w:rFonts w:ascii="Avenir Next LT Pro" w:hAnsi="Avenir Next LT Pro"/>
          <w:b/>
          <w:bCs/>
          <w:sz w:val="40"/>
          <w:szCs w:val="40"/>
        </w:rPr>
        <w:t>From Learners to Knowledge Creators: A Jesuit Approach to Teaching NeuroIS, UX, and Biometrics</w:t>
      </w:r>
    </w:p>
    <w:p w14:paraId="3603CE94" w14:textId="3720F9CA" w:rsidR="00732BEB" w:rsidRPr="00732BEB" w:rsidRDefault="00732BEB" w:rsidP="00537DDB">
      <w:pPr>
        <w:jc w:val="center"/>
        <w:rPr>
          <w:rFonts w:ascii="Avenir Next LT Pro" w:hAnsi="Avenir Next LT Pro"/>
          <w:sz w:val="28"/>
          <w:szCs w:val="28"/>
        </w:rPr>
      </w:pPr>
      <w:r w:rsidRPr="00732BEB">
        <w:rPr>
          <w:rFonts w:ascii="Avenir Next LT Pro" w:hAnsi="Avenir Next LT Pro"/>
          <w:b/>
          <w:bCs/>
          <w:sz w:val="28"/>
          <w:szCs w:val="28"/>
        </w:rPr>
        <w:t>Presentation Proposal</w:t>
      </w:r>
      <w:r w:rsidRPr="00732BEB">
        <w:rPr>
          <w:rFonts w:ascii="Avenir Next LT Pro" w:hAnsi="Avenir Next LT Pro"/>
          <w:b/>
          <w:bCs/>
          <w:sz w:val="28"/>
          <w:szCs w:val="28"/>
        </w:rPr>
        <w:t xml:space="preserve"> - Abstract</w:t>
      </w:r>
    </w:p>
    <w:p w14:paraId="0BB83C45" w14:textId="706B1482"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Higher education faces a growing challenge: how to create meaningful, transformative learning experiences in an era where information is increasingly abundant</w:t>
      </w:r>
      <w:r w:rsidR="00732BEB" w:rsidRPr="00732BEB">
        <w:rPr>
          <w:rFonts w:ascii="Avenir Next LT Pro" w:hAnsi="Avenir Next LT Pro"/>
          <w:sz w:val="22"/>
          <w:szCs w:val="22"/>
        </w:rPr>
        <w:t>,</w:t>
      </w:r>
      <w:r w:rsidRPr="00732BEB">
        <w:rPr>
          <w:rFonts w:ascii="Avenir Next LT Pro" w:hAnsi="Avenir Next LT Pro"/>
          <w:sz w:val="22"/>
          <w:szCs w:val="22"/>
        </w:rPr>
        <w:t xml:space="preserve"> and artificial intelligence can automate many traditional learning tasks. This presentation describes a three-year pedagogical initiative at Loyola University Chicago's Quinlan School of Business that responds to this challenge by transforming students from consumers of knowledge into creators of knowledge through Neuro-Information Systems (NeuroIS), User Experience (UX), biometrics, and undergraduate research.</w:t>
      </w:r>
    </w:p>
    <w:p w14:paraId="35ECECB9" w14:textId="77777777"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The initiative centers on the UX &amp; Biometrics course and the institution's research-grade UX &amp; Biometrics Lab. In this context, biometrics refers to the use of technologies such as eye tracking, galvanic skin response (GSR), facial expression analysis, and other sensors to measure aspects of human attention, emotion, cognition, and behavior that are often difficult to capture through surveys or interviews alone. These methods provide unique insights into the subconscious and automatic processes that influence how people learn, make decisions, and interact with digital systems.</w:t>
      </w:r>
    </w:p>
    <w:p w14:paraId="5D423DE3" w14:textId="77C2F507"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The course represents a distinctive curricular innovation within business education. To the best of our knowledge, it is the only</w:t>
      </w:r>
      <w:r w:rsidRPr="00732BEB">
        <w:rPr>
          <w:rFonts w:ascii="Avenir Next LT Pro" w:hAnsi="Avenir Next LT Pro"/>
          <w:sz w:val="22"/>
          <w:szCs w:val="22"/>
        </w:rPr>
        <w:t xml:space="preserve"> </w:t>
      </w:r>
      <w:r w:rsidRPr="00732BEB">
        <w:rPr>
          <w:rFonts w:ascii="Avenir Next LT Pro" w:hAnsi="Avenir Next LT Pro"/>
          <w:sz w:val="22"/>
          <w:szCs w:val="22"/>
        </w:rPr>
        <w:t xml:space="preserve">undergraduate business school </w:t>
      </w:r>
      <w:r w:rsidRPr="00732BEB">
        <w:rPr>
          <w:rFonts w:ascii="Avenir Next LT Pro" w:hAnsi="Avenir Next LT Pro"/>
          <w:sz w:val="22"/>
          <w:szCs w:val="22"/>
        </w:rPr>
        <w:t>course dedicated to UX and the deep use of research-grade biometric technology and data, and it</w:t>
      </w:r>
      <w:r w:rsidRPr="00732BEB">
        <w:rPr>
          <w:rFonts w:ascii="Avenir Next LT Pro" w:hAnsi="Avenir Next LT Pro"/>
          <w:sz w:val="22"/>
          <w:szCs w:val="22"/>
        </w:rPr>
        <w:t xml:space="preserve"> requires students to complete a full empirical research project from conception to dissemination. Students gain experience in experimental design, human-subject research, biometric data collection, statistical analysis, academic writing, and scholarly dissemination while investigating contemporary questions related to digital behavior, trust, attention, decision-making, media engagement, and artificial intelligence.</w:t>
      </w:r>
    </w:p>
    <w:p w14:paraId="514D0EA5" w14:textId="77777777"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Grounded in Jesuit pedagogy and the Ignatian tradition of experience, reflection, action, and evaluation, the course is built around a Knowledge-Creation Ecosystem Model that integrates four elements: research-grade infrastructure, structured scaffolding, scholarly dissemination, and reflective practice. Rather than studying research, students become researchers. Working within a functioning laboratory environment, students develop research questions, conduct literature reviews, obtain Institutional Review Board approval, design experiments, collect and analyze data, present findings, and produce full academic manuscripts.</w:t>
      </w:r>
    </w:p>
    <w:p w14:paraId="1437C056" w14:textId="536E6057"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 xml:space="preserve">The presentation will provide a detailed overview of this ecosystem and the course architecture that supports it. Attendees will learn how semester-long </w:t>
      </w:r>
      <w:proofErr w:type="gramStart"/>
      <w:r w:rsidRPr="00732BEB">
        <w:rPr>
          <w:rFonts w:ascii="Avenir Next LT Pro" w:hAnsi="Avenir Next LT Pro"/>
          <w:sz w:val="22"/>
          <w:szCs w:val="22"/>
        </w:rPr>
        <w:t>scaffolding</w:t>
      </w:r>
      <w:r w:rsidRPr="00732BEB">
        <w:rPr>
          <w:rFonts w:ascii="Avenir Next LT Pro" w:hAnsi="Avenir Next LT Pro"/>
          <w:sz w:val="22"/>
          <w:szCs w:val="22"/>
        </w:rPr>
        <w:t>,</w:t>
      </w:r>
      <w:proofErr w:type="gramEnd"/>
      <w:r w:rsidRPr="00732BEB">
        <w:rPr>
          <w:rFonts w:ascii="Avenir Next LT Pro" w:hAnsi="Avenir Next LT Pro"/>
          <w:sz w:val="22"/>
          <w:szCs w:val="22"/>
        </w:rPr>
        <w:t xml:space="preserve"> </w:t>
      </w:r>
      <w:proofErr w:type="gramStart"/>
      <w:r w:rsidRPr="00732BEB">
        <w:rPr>
          <w:rFonts w:ascii="Avenir Next LT Pro" w:hAnsi="Avenir Next LT Pro"/>
          <w:sz w:val="22"/>
          <w:szCs w:val="22"/>
        </w:rPr>
        <w:t>including</w:t>
      </w:r>
      <w:proofErr w:type="gramEnd"/>
      <w:r w:rsidRPr="00732BEB">
        <w:rPr>
          <w:rFonts w:ascii="Avenir Next LT Pro" w:hAnsi="Avenir Next LT Pro"/>
          <w:sz w:val="22"/>
          <w:szCs w:val="22"/>
        </w:rPr>
        <w:t xml:space="preserve"> individual proposals, literature reviews, IRB submissions, experimental design activities, data collection, </w:t>
      </w:r>
      <w:r w:rsidRPr="00732BEB">
        <w:rPr>
          <w:rFonts w:ascii="Avenir Next LT Pro" w:hAnsi="Avenir Next LT Pro"/>
          <w:sz w:val="22"/>
          <w:szCs w:val="22"/>
        </w:rPr>
        <w:lastRenderedPageBreak/>
        <w:t>manuscript writing, conference-style presentations, and reflective assignments</w:t>
      </w:r>
      <w:r w:rsidRPr="00732BEB">
        <w:rPr>
          <w:rFonts w:ascii="Avenir Next LT Pro" w:hAnsi="Avenir Next LT Pro"/>
          <w:sz w:val="22"/>
          <w:szCs w:val="22"/>
        </w:rPr>
        <w:t xml:space="preserve">, </w:t>
      </w:r>
      <w:r w:rsidRPr="00732BEB">
        <w:rPr>
          <w:rFonts w:ascii="Avenir Next LT Pro" w:hAnsi="Avenir Next LT Pro"/>
          <w:sz w:val="22"/>
          <w:szCs w:val="22"/>
        </w:rPr>
        <w:t xml:space="preserve">supports student development from novice learners to emerging scholars. </w:t>
      </w:r>
      <w:r w:rsidRPr="00732BEB">
        <w:rPr>
          <w:rFonts w:ascii="Avenir Next LT Pro" w:hAnsi="Avenir Next LT Pro"/>
          <w:sz w:val="22"/>
          <w:szCs w:val="22"/>
        </w:rPr>
        <w:t>Attention</w:t>
      </w:r>
      <w:r w:rsidRPr="00732BEB">
        <w:rPr>
          <w:rFonts w:ascii="Avenir Next LT Pro" w:hAnsi="Avenir Next LT Pro"/>
          <w:sz w:val="22"/>
          <w:szCs w:val="22"/>
        </w:rPr>
        <w:t xml:space="preserve"> will be given to how the integration of classroom instruction, laboratory experiences, mentoring, and structured deliverables creates the conditions for intellectual growth, confidence development, scholarly identity formation, and transformative learning.</w:t>
      </w:r>
    </w:p>
    <w:p w14:paraId="39DA6867" w14:textId="37B7A01F"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 xml:space="preserve">A distinguishing characteristic of the model is its deep integration with Loyola University's </w:t>
      </w:r>
      <w:hyperlink r:id="rId5" w:history="1">
        <w:r w:rsidRPr="00732BEB">
          <w:rPr>
            <w:rStyle w:val="Hyperlink"/>
            <w:rFonts w:ascii="Avenir Next LT Pro" w:hAnsi="Avenir Next LT Pro"/>
            <w:sz w:val="22"/>
            <w:szCs w:val="22"/>
          </w:rPr>
          <w:t>UX &amp; Biometrics Lab</w:t>
        </w:r>
      </w:hyperlink>
      <w:r w:rsidRPr="00732BEB">
        <w:rPr>
          <w:rFonts w:ascii="Avenir Next LT Pro" w:hAnsi="Avenir Next LT Pro"/>
          <w:sz w:val="22"/>
          <w:szCs w:val="22"/>
        </w:rPr>
        <w:t>. Students work directly with the same technologies, software platforms, and methodological approaches used in contemporary academic research. Rather than relying on simulations or hypothetical exercises, they engage in authentic inquiry using research-grade tools and contribute to a broader research ecosystem that connects coursework, faculty scholarship, conference presentations, and publication opportunities. This integration transforms the laboratory from a faculty research space into a high-impact educational environment that strengthens both student learning and institutional research capacity.</w:t>
      </w:r>
    </w:p>
    <w:p w14:paraId="0AE40400" w14:textId="6A4D97BF"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 xml:space="preserve">Although demonstrated through UX, biometrics, and NeuroIS, the framework is intentionally transferable. The knowledge-creation approach can be adapted to domains such as neuromarketing, neuroeconomics, </w:t>
      </w:r>
      <w:proofErr w:type="spellStart"/>
      <w:r w:rsidRPr="00732BEB">
        <w:rPr>
          <w:rFonts w:ascii="Avenir Next LT Pro" w:hAnsi="Avenir Next LT Pro"/>
          <w:sz w:val="22"/>
          <w:szCs w:val="22"/>
        </w:rPr>
        <w:t>neurofinance</w:t>
      </w:r>
      <w:proofErr w:type="spellEnd"/>
      <w:r w:rsidRPr="00732BEB">
        <w:rPr>
          <w:rFonts w:ascii="Avenir Next LT Pro" w:hAnsi="Avenir Next LT Pro"/>
          <w:sz w:val="22"/>
          <w:szCs w:val="22"/>
        </w:rPr>
        <w:t>, consumer behavior, digital marketing, analytics, entrepreneurship, organizational behavior, and sustainability research. Likewise, it can be implemented using a variety of research methods, including biometrics, experiments, surveys, interviews, focus groups, ethnography, archival data, digital trace data, and mixed-method designs.</w:t>
      </w:r>
    </w:p>
    <w:p w14:paraId="687A1989" w14:textId="6DAA4AF2"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The presentation further argues that knowledge-creation pedagogies may provide a resilient response to challenges posed by generative AI. While AI can assist with information retrieval and content generation, it cannot replace the deep engagement required to formulate research questions, collect evidence, interpret findings, and defend conclusions. By emphasizing discovery</w:t>
      </w:r>
      <w:r w:rsidR="00732BEB">
        <w:rPr>
          <w:rFonts w:ascii="Avenir Next LT Pro" w:hAnsi="Avenir Next LT Pro"/>
          <w:sz w:val="22"/>
          <w:szCs w:val="22"/>
        </w:rPr>
        <w:t xml:space="preserve"> and knowledge creation</w:t>
      </w:r>
      <w:r w:rsidRPr="00732BEB">
        <w:rPr>
          <w:rFonts w:ascii="Avenir Next LT Pro" w:hAnsi="Avenir Next LT Pro"/>
          <w:sz w:val="22"/>
          <w:szCs w:val="22"/>
        </w:rPr>
        <w:t xml:space="preserve"> rather than consumption, the model preserves critical thinking, intellectual ownership, curiosity, and authentic learning.</w:t>
      </w:r>
    </w:p>
    <w:p w14:paraId="2F329D0C" w14:textId="52D89BED"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An additional indicator of the model's effectiveness is the consistently positive student response. Despite being widely regarded as one of the most demanding</w:t>
      </w:r>
      <w:r w:rsidR="00732BEB">
        <w:rPr>
          <w:rFonts w:ascii="Avenir Next LT Pro" w:hAnsi="Avenir Next LT Pro"/>
          <w:sz w:val="22"/>
          <w:szCs w:val="22"/>
        </w:rPr>
        <w:t xml:space="preserve"> and often the most challenging</w:t>
      </w:r>
      <w:r w:rsidRPr="00732BEB">
        <w:rPr>
          <w:rFonts w:ascii="Avenir Next LT Pro" w:hAnsi="Avenir Next LT Pro"/>
          <w:sz w:val="22"/>
          <w:szCs w:val="22"/>
        </w:rPr>
        <w:t xml:space="preserve"> </w:t>
      </w:r>
      <w:r w:rsidRPr="00732BEB">
        <w:rPr>
          <w:rFonts w:ascii="Avenir Next LT Pro" w:hAnsi="Avenir Next LT Pro"/>
          <w:sz w:val="22"/>
          <w:szCs w:val="22"/>
        </w:rPr>
        <w:t>courses in the undergraduate business curriculum, instructor effectiveness ratings have remained a perfect 5.0 out of 5.0 across all three years, while course effectiveness ratings were 5.0, 5.0, and 4.9 out of 5.0. Students routinely describe the experience as transformative because it requires deep engagement with ambiguity, research, collaboration, and scholarly inquiry.</w:t>
      </w:r>
    </w:p>
    <w:p w14:paraId="43BFAE00" w14:textId="77226AE4"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 xml:space="preserve">Evidence from the first three years demonstrates substantial educational, scholarly, and professional impact. Supported by the infrastructure and mentoring ecosystem of the UX &amp; Biometrics Lab, </w:t>
      </w:r>
      <w:r w:rsidRPr="00732BEB">
        <w:rPr>
          <w:rFonts w:ascii="Avenir Next LT Pro" w:hAnsi="Avenir Next LT Pro"/>
          <w:sz w:val="22"/>
          <w:szCs w:val="22"/>
        </w:rPr>
        <w:t>48 undergraduate students completed 18 original human-subjects</w:t>
      </w:r>
      <w:r w:rsidRPr="00732BEB">
        <w:rPr>
          <w:rFonts w:ascii="Avenir Next LT Pro" w:hAnsi="Avenir Next LT Pro"/>
          <w:sz w:val="22"/>
          <w:szCs w:val="22"/>
        </w:rPr>
        <w:t xml:space="preserve"> </w:t>
      </w:r>
      <w:hyperlink r:id="rId6" w:history="1">
        <w:r w:rsidRPr="00732BEB">
          <w:rPr>
            <w:rStyle w:val="Hyperlink"/>
            <w:rFonts w:ascii="Avenir Next LT Pro" w:hAnsi="Avenir Next LT Pro"/>
            <w:sz w:val="22"/>
            <w:szCs w:val="22"/>
          </w:rPr>
          <w:t>research projects</w:t>
        </w:r>
      </w:hyperlink>
      <w:r w:rsidRPr="00732BEB">
        <w:rPr>
          <w:rFonts w:ascii="Avenir Next LT Pro" w:hAnsi="Avenir Next LT Pro"/>
          <w:sz w:val="22"/>
          <w:szCs w:val="22"/>
        </w:rPr>
        <w:t xml:space="preserve">, all of which were presented at Loyola University's Undergraduate Research Symposium. Student work has resulted in an </w:t>
      </w:r>
      <w:hyperlink r:id="rId7" w:history="1">
        <w:r w:rsidRPr="00732BEB">
          <w:rPr>
            <w:rStyle w:val="Hyperlink"/>
            <w:rFonts w:ascii="Avenir Next LT Pro" w:hAnsi="Avenir Next LT Pro"/>
            <w:sz w:val="22"/>
            <w:szCs w:val="22"/>
          </w:rPr>
          <w:t>A-ranked journal publication</w:t>
        </w:r>
      </w:hyperlink>
      <w:r w:rsidRPr="00732BEB">
        <w:rPr>
          <w:rFonts w:ascii="Avenir Next LT Pro" w:hAnsi="Avenir Next LT Pro"/>
          <w:sz w:val="22"/>
          <w:szCs w:val="22"/>
        </w:rPr>
        <w:t>, multiple IEEE conference proceedings</w:t>
      </w:r>
      <w:r w:rsidRPr="00732BEB">
        <w:rPr>
          <w:rFonts w:ascii="Avenir Next LT Pro" w:hAnsi="Avenir Next LT Pro"/>
          <w:sz w:val="22"/>
          <w:szCs w:val="22"/>
        </w:rPr>
        <w:t xml:space="preserve"> (</w:t>
      </w:r>
      <w:hyperlink r:id="rId8" w:history="1">
        <w:r w:rsidRPr="00732BEB">
          <w:rPr>
            <w:rStyle w:val="Hyperlink"/>
            <w:rFonts w:ascii="Avenir Next LT Pro" w:hAnsi="Avenir Next LT Pro"/>
            <w:sz w:val="22"/>
            <w:szCs w:val="22"/>
          </w:rPr>
          <w:t>1</w:t>
        </w:r>
      </w:hyperlink>
      <w:r w:rsidRPr="00732BEB">
        <w:rPr>
          <w:rFonts w:ascii="Avenir Next LT Pro" w:hAnsi="Avenir Next LT Pro"/>
          <w:sz w:val="22"/>
          <w:szCs w:val="22"/>
        </w:rPr>
        <w:t xml:space="preserve">, </w:t>
      </w:r>
      <w:hyperlink r:id="rId9" w:history="1">
        <w:r w:rsidRPr="00732BEB">
          <w:rPr>
            <w:rStyle w:val="Hyperlink"/>
            <w:rFonts w:ascii="Avenir Next LT Pro" w:hAnsi="Avenir Next LT Pro"/>
            <w:sz w:val="22"/>
            <w:szCs w:val="22"/>
          </w:rPr>
          <w:t>2</w:t>
        </w:r>
      </w:hyperlink>
      <w:r w:rsidRPr="00732BEB">
        <w:rPr>
          <w:rFonts w:ascii="Avenir Next LT Pro" w:hAnsi="Avenir Next LT Pro"/>
          <w:sz w:val="22"/>
          <w:szCs w:val="22"/>
        </w:rPr>
        <w:t xml:space="preserve">, </w:t>
      </w:r>
      <w:hyperlink r:id="rId10" w:history="1">
        <w:r w:rsidRPr="00732BEB">
          <w:rPr>
            <w:rStyle w:val="Hyperlink"/>
            <w:rFonts w:ascii="Avenir Next LT Pro" w:hAnsi="Avenir Next LT Pro"/>
            <w:sz w:val="22"/>
            <w:szCs w:val="22"/>
          </w:rPr>
          <w:t>3</w:t>
        </w:r>
      </w:hyperlink>
      <w:r w:rsidRPr="00732BEB">
        <w:rPr>
          <w:rFonts w:ascii="Avenir Next LT Pro" w:hAnsi="Avenir Next LT Pro"/>
          <w:sz w:val="22"/>
          <w:szCs w:val="22"/>
        </w:rPr>
        <w:t xml:space="preserve">, </w:t>
      </w:r>
      <w:hyperlink r:id="rId11" w:history="1">
        <w:r w:rsidRPr="00732BEB">
          <w:rPr>
            <w:rStyle w:val="Hyperlink"/>
            <w:rFonts w:ascii="Avenir Next LT Pro" w:hAnsi="Avenir Next LT Pro"/>
            <w:sz w:val="22"/>
            <w:szCs w:val="22"/>
          </w:rPr>
          <w:t>4</w:t>
        </w:r>
      </w:hyperlink>
      <w:r w:rsidRPr="00732BEB">
        <w:rPr>
          <w:rFonts w:ascii="Avenir Next LT Pro" w:hAnsi="Avenir Next LT Pro"/>
          <w:sz w:val="22"/>
          <w:szCs w:val="22"/>
        </w:rPr>
        <w:t>)</w:t>
      </w:r>
      <w:r w:rsidRPr="00732BEB">
        <w:rPr>
          <w:rFonts w:ascii="Avenir Next LT Pro" w:hAnsi="Avenir Next LT Pro"/>
          <w:sz w:val="22"/>
          <w:szCs w:val="22"/>
        </w:rPr>
        <w:t xml:space="preserve">, seven </w:t>
      </w:r>
      <w:r w:rsidRPr="00732BEB">
        <w:rPr>
          <w:rFonts w:ascii="Avenir Next LT Pro" w:hAnsi="Avenir Next LT Pro"/>
          <w:sz w:val="22"/>
          <w:szCs w:val="22"/>
        </w:rPr>
        <w:t xml:space="preserve">published or </w:t>
      </w:r>
      <w:r w:rsidRPr="00732BEB">
        <w:rPr>
          <w:rFonts w:ascii="Avenir Next LT Pro" w:hAnsi="Avenir Next LT Pro"/>
          <w:sz w:val="22"/>
          <w:szCs w:val="22"/>
        </w:rPr>
        <w:t>accepted AMCIS papers</w:t>
      </w:r>
      <w:r w:rsidRPr="00732BEB">
        <w:rPr>
          <w:rFonts w:ascii="Avenir Next LT Pro" w:hAnsi="Avenir Next LT Pro"/>
          <w:sz w:val="22"/>
          <w:szCs w:val="22"/>
        </w:rPr>
        <w:t xml:space="preserve"> (two </w:t>
      </w:r>
      <w:r w:rsidRPr="00732BEB">
        <w:rPr>
          <w:rFonts w:ascii="Avenir Next LT Pro" w:hAnsi="Avenir Next LT Pro"/>
          <w:sz w:val="22"/>
          <w:szCs w:val="22"/>
        </w:rPr>
        <w:lastRenderedPageBreak/>
        <w:t xml:space="preserve">examples: </w:t>
      </w:r>
      <w:hyperlink r:id="rId12" w:history="1">
        <w:r w:rsidRPr="00732BEB">
          <w:rPr>
            <w:rStyle w:val="Hyperlink"/>
            <w:rFonts w:ascii="Avenir Next LT Pro" w:hAnsi="Avenir Next LT Pro"/>
            <w:sz w:val="22"/>
            <w:szCs w:val="22"/>
          </w:rPr>
          <w:t>1</w:t>
        </w:r>
      </w:hyperlink>
      <w:r w:rsidRPr="00732BEB">
        <w:rPr>
          <w:rFonts w:ascii="Avenir Next LT Pro" w:hAnsi="Avenir Next LT Pro"/>
          <w:sz w:val="22"/>
          <w:szCs w:val="22"/>
        </w:rPr>
        <w:t xml:space="preserve"> &amp; </w:t>
      </w:r>
      <w:hyperlink r:id="rId13" w:history="1">
        <w:r w:rsidRPr="00732BEB">
          <w:rPr>
            <w:rStyle w:val="Hyperlink"/>
            <w:rFonts w:ascii="Avenir Next LT Pro" w:hAnsi="Avenir Next LT Pro"/>
            <w:sz w:val="22"/>
            <w:szCs w:val="22"/>
          </w:rPr>
          <w:t>2</w:t>
        </w:r>
      </w:hyperlink>
      <w:r w:rsidRPr="00732BEB">
        <w:rPr>
          <w:rFonts w:ascii="Avenir Next LT Pro" w:hAnsi="Avenir Next LT Pro"/>
          <w:sz w:val="22"/>
          <w:szCs w:val="22"/>
        </w:rPr>
        <w:t>)</w:t>
      </w:r>
      <w:r w:rsidRPr="00732BEB">
        <w:rPr>
          <w:rFonts w:ascii="Avenir Next LT Pro" w:hAnsi="Avenir Next LT Pro"/>
          <w:sz w:val="22"/>
          <w:szCs w:val="22"/>
        </w:rPr>
        <w:t xml:space="preserve">, and international conference presentations in North America and Europe. The resulting ecosystem has created a pipeline through which students evolve from learners to researchers, authors, presenters, and </w:t>
      </w:r>
      <w:hyperlink r:id="rId14" w:history="1">
        <w:r w:rsidRPr="00732BEB">
          <w:rPr>
            <w:rStyle w:val="Hyperlink"/>
            <w:rFonts w:ascii="Avenir Next LT Pro" w:hAnsi="Avenir Next LT Pro"/>
            <w:sz w:val="22"/>
            <w:szCs w:val="22"/>
          </w:rPr>
          <w:t>Lab Fellows</w:t>
        </w:r>
      </w:hyperlink>
      <w:r w:rsidRPr="00732BEB">
        <w:rPr>
          <w:rFonts w:ascii="Avenir Next LT Pro" w:hAnsi="Avenir Next LT Pro"/>
          <w:sz w:val="22"/>
          <w:szCs w:val="22"/>
        </w:rPr>
        <w:t>.</w:t>
      </w:r>
    </w:p>
    <w:p w14:paraId="4525E0D5" w14:textId="3DD6D3CC" w:rsidR="00732BEB" w:rsidRPr="00732BEB" w:rsidRDefault="00732BEB" w:rsidP="00732BEB">
      <w:pPr>
        <w:jc w:val="both"/>
        <w:rPr>
          <w:rFonts w:ascii="Avenir Next LT Pro" w:hAnsi="Avenir Next LT Pro"/>
          <w:sz w:val="22"/>
          <w:szCs w:val="22"/>
        </w:rPr>
      </w:pPr>
      <w:r w:rsidRPr="00732BEB">
        <w:rPr>
          <w:rFonts w:ascii="Avenir Next LT Pro" w:hAnsi="Avenir Next LT Pro"/>
          <w:sz w:val="22"/>
          <w:szCs w:val="22"/>
        </w:rPr>
        <w:t xml:space="preserve">Beyond its pedagogical value, the Knowledge-Creation Ecosystem Model has become a </w:t>
      </w:r>
      <w:hyperlink r:id="rId15" w:history="1">
        <w:r w:rsidRPr="00732BEB">
          <w:rPr>
            <w:rStyle w:val="Hyperlink"/>
            <w:rFonts w:ascii="Avenir Next LT Pro" w:hAnsi="Avenir Next LT Pro"/>
            <w:sz w:val="22"/>
            <w:szCs w:val="22"/>
          </w:rPr>
          <w:t>strategic differentiator</w:t>
        </w:r>
      </w:hyperlink>
      <w:r w:rsidRPr="00732BEB">
        <w:rPr>
          <w:rFonts w:ascii="Avenir Next LT Pro" w:hAnsi="Avenir Next LT Pro"/>
          <w:sz w:val="22"/>
          <w:szCs w:val="22"/>
        </w:rPr>
        <w:t xml:space="preserve"> for the Information Systems curriculum, the Quinlan School of Business, and Loyola University more broadly</w:t>
      </w:r>
      <w:r w:rsidRPr="00732BEB">
        <w:rPr>
          <w:rFonts w:ascii="Avenir Next LT Pro" w:hAnsi="Avenir Next LT Pro"/>
          <w:sz w:val="22"/>
          <w:szCs w:val="22"/>
        </w:rPr>
        <w:t xml:space="preserve"> (see </w:t>
      </w:r>
      <w:hyperlink r:id="rId16" w:history="1">
        <w:r w:rsidRPr="00732BEB">
          <w:rPr>
            <w:rStyle w:val="Hyperlink"/>
            <w:rFonts w:ascii="Avenir Next LT Pro" w:hAnsi="Avenir Next LT Pro"/>
            <w:sz w:val="22"/>
            <w:szCs w:val="22"/>
          </w:rPr>
          <w:t>AACSB article</w:t>
        </w:r>
      </w:hyperlink>
      <w:r w:rsidRPr="00732BEB">
        <w:rPr>
          <w:rFonts w:ascii="Avenir Next LT Pro" w:hAnsi="Avenir Next LT Pro"/>
          <w:sz w:val="22"/>
          <w:szCs w:val="22"/>
        </w:rPr>
        <w:t>)</w:t>
      </w:r>
      <w:r w:rsidRPr="00732BEB">
        <w:rPr>
          <w:rFonts w:ascii="Avenir Next LT Pro" w:hAnsi="Avenir Next LT Pro"/>
          <w:sz w:val="22"/>
          <w:szCs w:val="22"/>
        </w:rPr>
        <w:t>. At a time when business schools face increasing pressure to demonstrate workforce relevance, experiential value, and meaningful differentiation, the course provides students with opportunities rarely available at the undergraduate level. Students graduate with experience designing human-subject studies, working with research-grade technologies, analyzing behavioral data, presenting at academic conferences, and contributing to scholarly publications. These experiences create a distinctive professional profile that strengthens students' competitiveness for careers in UX research, analytics, consulting, digital marketing, product management, financial services, and emerging technology fields, while also providing a significant advantage for graduate and doctoral study. Equally important, the model differentiates the institution itself by demonstrating how a business school can successfully integrate research, teaching, technology, and student development into a single educational ecosystem. In an increasingly crowded higher-education landscape, such distinctive and transformative experiences can serve as powerful mechanisms for student recruitment, retention, engagement, and institutional identity.</w:t>
      </w:r>
    </w:p>
    <w:p w14:paraId="2B830B45" w14:textId="77777777" w:rsidR="00537DDB" w:rsidRPr="00732BEB" w:rsidRDefault="00537DDB" w:rsidP="00732BEB">
      <w:pPr>
        <w:jc w:val="both"/>
        <w:rPr>
          <w:rFonts w:ascii="Avenir Next LT Pro" w:hAnsi="Avenir Next LT Pro"/>
          <w:sz w:val="22"/>
          <w:szCs w:val="22"/>
        </w:rPr>
      </w:pPr>
      <w:r w:rsidRPr="00732BEB">
        <w:rPr>
          <w:rFonts w:ascii="Avenir Next LT Pro" w:hAnsi="Avenir Next LT Pro"/>
          <w:sz w:val="22"/>
          <w:szCs w:val="22"/>
        </w:rPr>
        <w:t>The presentation concludes by offering a replicable framework for institutions seeking to integrate undergraduate research, Jesuit educational values, and knowledge creation into the curriculum. Attendees will leave with practical guidance on course design, scaffolding strategies, deliverable sequencing, assessment approaches, laboratory integration, and research mentoring practices that can be adapted across disciplines and institutional contexts. More broadly, the presentation argues that as artificial intelligence increasingly automates the consumption and production of information, higher education must place greater emphasis on experiences that require students to investigate, discover, create, and contribute new knowledge. The Knowledge-Creation Ecosystem Model demonstrates how a Jesuit business school can respond to this challenge by developing graduates who are not merely consumers of knowledge, but thoughtful, reflective, and capable creators of it.</w:t>
      </w:r>
    </w:p>
    <w:p w14:paraId="38B6ED99" w14:textId="77777777" w:rsidR="00D62AD0" w:rsidRPr="00732BEB" w:rsidRDefault="00D62AD0" w:rsidP="00732BEB">
      <w:pPr>
        <w:jc w:val="both"/>
        <w:rPr>
          <w:rFonts w:ascii="Avenir Next LT Pro" w:hAnsi="Avenir Next LT Pro"/>
          <w:sz w:val="22"/>
          <w:szCs w:val="22"/>
        </w:rPr>
      </w:pPr>
    </w:p>
    <w:sectPr w:rsidR="00D62AD0" w:rsidRPr="00732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宋体">
    <w:altName w:val="Yu Gothic"/>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2098"/>
    <w:multiLevelType w:val="multilevel"/>
    <w:tmpl w:val="33AA5112"/>
    <w:lvl w:ilvl="0">
      <w:start w:val="1"/>
      <w:numFmt w:val="upperRoman"/>
      <w:pStyle w:val="Heading1"/>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000000"/>
        <w:position w:val="0"/>
        <w:sz w:val="20"/>
        <w:szCs w:val="20"/>
        <w:vertAlign w:val="baseline"/>
      </w:rPr>
    </w:lvl>
    <w:lvl w:ilvl="2">
      <w:start w:val="1"/>
      <w:numFmt w:val="decimal"/>
      <w:lvlText w:val="%3)"/>
      <w:lvlJc w:val="left"/>
      <w:pPr>
        <w:tabs>
          <w:tab w:val="num" w:pos="189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num w:numId="1" w16cid:durableId="1420449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DB"/>
    <w:rsid w:val="000A3AC9"/>
    <w:rsid w:val="00396BCF"/>
    <w:rsid w:val="00537DDB"/>
    <w:rsid w:val="005F54C1"/>
    <w:rsid w:val="00732BEB"/>
    <w:rsid w:val="00C44FDB"/>
    <w:rsid w:val="00D62AD0"/>
    <w:rsid w:val="00ED3C95"/>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9E1D"/>
  <w15:chartTrackingRefBased/>
  <w15:docId w15:val="{D83C080E-27F8-4528-838C-790BC213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FDB"/>
    <w:pPr>
      <w:keepNext/>
      <w:keepLines/>
      <w:numPr>
        <w:numId w:val="1"/>
      </w:numPr>
      <w:suppressAutoHyphens/>
      <w:spacing w:before="240" w:after="120" w:line="240" w:lineRule="auto"/>
      <w:ind w:firstLine="215"/>
      <w:jc w:val="center"/>
      <w:outlineLvl w:val="0"/>
    </w:pPr>
    <w:rPr>
      <w:rFonts w:ascii="Times New Roman" w:eastAsia="SimSun;宋体" w:hAnsi="Times New Roman" w:cs="Times New Roman"/>
      <w:smallCaps/>
      <w:sz w:val="20"/>
      <w:szCs w:val="20"/>
    </w:rPr>
  </w:style>
  <w:style w:type="paragraph" w:styleId="Heading2">
    <w:name w:val="heading 2"/>
    <w:basedOn w:val="Normal"/>
    <w:next w:val="Normal"/>
    <w:link w:val="Heading2Char"/>
    <w:uiPriority w:val="9"/>
    <w:semiHidden/>
    <w:unhideWhenUsed/>
    <w:qFormat/>
    <w:rsid w:val="00537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DB"/>
    <w:rPr>
      <w:rFonts w:ascii="Times New Roman" w:eastAsia="SimSun;宋体" w:hAnsi="Times New Roman" w:cs="Times New Roman"/>
      <w:smallCaps/>
      <w:sz w:val="20"/>
      <w:szCs w:val="20"/>
    </w:rPr>
  </w:style>
  <w:style w:type="character" w:customStyle="1" w:styleId="Heading2Char">
    <w:name w:val="Heading 2 Char"/>
    <w:basedOn w:val="DefaultParagraphFont"/>
    <w:link w:val="Heading2"/>
    <w:uiPriority w:val="9"/>
    <w:semiHidden/>
    <w:rsid w:val="00537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DDB"/>
    <w:rPr>
      <w:rFonts w:eastAsiaTheme="majorEastAsia" w:cstheme="majorBidi"/>
      <w:color w:val="272727" w:themeColor="text1" w:themeTint="D8"/>
    </w:rPr>
  </w:style>
  <w:style w:type="paragraph" w:styleId="Title">
    <w:name w:val="Title"/>
    <w:basedOn w:val="Normal"/>
    <w:next w:val="Normal"/>
    <w:link w:val="TitleChar"/>
    <w:uiPriority w:val="10"/>
    <w:qFormat/>
    <w:rsid w:val="0053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DDB"/>
    <w:pPr>
      <w:spacing w:before="160"/>
      <w:jc w:val="center"/>
    </w:pPr>
    <w:rPr>
      <w:i/>
      <w:iCs/>
      <w:color w:val="404040" w:themeColor="text1" w:themeTint="BF"/>
    </w:rPr>
  </w:style>
  <w:style w:type="character" w:customStyle="1" w:styleId="QuoteChar">
    <w:name w:val="Quote Char"/>
    <w:basedOn w:val="DefaultParagraphFont"/>
    <w:link w:val="Quote"/>
    <w:uiPriority w:val="29"/>
    <w:rsid w:val="00537DDB"/>
    <w:rPr>
      <w:i/>
      <w:iCs/>
      <w:color w:val="404040" w:themeColor="text1" w:themeTint="BF"/>
    </w:rPr>
  </w:style>
  <w:style w:type="paragraph" w:styleId="ListParagraph">
    <w:name w:val="List Paragraph"/>
    <w:basedOn w:val="Normal"/>
    <w:uiPriority w:val="34"/>
    <w:qFormat/>
    <w:rsid w:val="00537DDB"/>
    <w:pPr>
      <w:ind w:left="720"/>
      <w:contextualSpacing/>
    </w:pPr>
  </w:style>
  <w:style w:type="character" w:styleId="IntenseEmphasis">
    <w:name w:val="Intense Emphasis"/>
    <w:basedOn w:val="DefaultParagraphFont"/>
    <w:uiPriority w:val="21"/>
    <w:qFormat/>
    <w:rsid w:val="00537DDB"/>
    <w:rPr>
      <w:i/>
      <w:iCs/>
      <w:color w:val="0F4761" w:themeColor="accent1" w:themeShade="BF"/>
    </w:rPr>
  </w:style>
  <w:style w:type="paragraph" w:styleId="IntenseQuote">
    <w:name w:val="Intense Quote"/>
    <w:basedOn w:val="Normal"/>
    <w:next w:val="Normal"/>
    <w:link w:val="IntenseQuoteChar"/>
    <w:uiPriority w:val="30"/>
    <w:qFormat/>
    <w:rsid w:val="00537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DDB"/>
    <w:rPr>
      <w:i/>
      <w:iCs/>
      <w:color w:val="0F4761" w:themeColor="accent1" w:themeShade="BF"/>
    </w:rPr>
  </w:style>
  <w:style w:type="character" w:styleId="IntenseReference">
    <w:name w:val="Intense Reference"/>
    <w:basedOn w:val="DefaultParagraphFont"/>
    <w:uiPriority w:val="32"/>
    <w:qFormat/>
    <w:rsid w:val="00537DDB"/>
    <w:rPr>
      <w:b/>
      <w:bCs/>
      <w:smallCaps/>
      <w:color w:val="0F4761" w:themeColor="accent1" w:themeShade="BF"/>
      <w:spacing w:val="5"/>
    </w:rPr>
  </w:style>
  <w:style w:type="character" w:styleId="Hyperlink">
    <w:name w:val="Hyperlink"/>
    <w:basedOn w:val="DefaultParagraphFont"/>
    <w:uiPriority w:val="99"/>
    <w:unhideWhenUsed/>
    <w:rsid w:val="00537DDB"/>
    <w:rPr>
      <w:color w:val="467886" w:themeColor="hyperlink"/>
      <w:u w:val="single"/>
    </w:rPr>
  </w:style>
  <w:style w:type="character" w:styleId="UnresolvedMention">
    <w:name w:val="Unresolved Mention"/>
    <w:basedOn w:val="DefaultParagraphFont"/>
    <w:uiPriority w:val="99"/>
    <w:semiHidden/>
    <w:unhideWhenUsed/>
    <w:rsid w:val="0053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document/11131891" TargetMode="External"/><Relationship Id="rId13" Type="http://schemas.openxmlformats.org/officeDocument/2006/relationships/hyperlink" Target="https://aisel.aisnet.org/amcis2025/sig_hci/sig_hci/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8/JCM-12-2024-7460" TargetMode="External"/><Relationship Id="rId12" Type="http://schemas.openxmlformats.org/officeDocument/2006/relationships/hyperlink" Target="https://aisel.aisnet.org/amcis2025/sig_hci/sig_hci/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acsb.edu/insights/articles/2024/08/the-business-case-for-human-behavior-research" TargetMode="External"/><Relationship Id="rId1" Type="http://schemas.openxmlformats.org/officeDocument/2006/relationships/numbering" Target="numbering.xml"/><Relationship Id="rId6" Type="http://schemas.openxmlformats.org/officeDocument/2006/relationships/hyperlink" Target="https://www.uxbiometriclab.com/student-research" TargetMode="External"/><Relationship Id="rId11" Type="http://schemas.openxmlformats.org/officeDocument/2006/relationships/hyperlink" Target="https://ieeexplore.ieee.org/document/11131945" TargetMode="External"/><Relationship Id="rId5" Type="http://schemas.openxmlformats.org/officeDocument/2006/relationships/hyperlink" Target="https://www.uxbiometriclab.com/current-team" TargetMode="External"/><Relationship Id="rId15" Type="http://schemas.openxmlformats.org/officeDocument/2006/relationships/hyperlink" Target="https://www.luc.edu/quinlan/impact/breakinggroundwithbiometrics/" TargetMode="External"/><Relationship Id="rId10" Type="http://schemas.openxmlformats.org/officeDocument/2006/relationships/hyperlink" Target="https://ieeexplore.ieee.org/document/11132063" TargetMode="External"/><Relationship Id="rId4" Type="http://schemas.openxmlformats.org/officeDocument/2006/relationships/webSettings" Target="webSettings.xml"/><Relationship Id="rId9" Type="http://schemas.openxmlformats.org/officeDocument/2006/relationships/hyperlink" Target="https://ieeexplore.ieee.org/abstract/document/11132066" TargetMode="External"/><Relationship Id="rId14" Type="http://schemas.openxmlformats.org/officeDocument/2006/relationships/hyperlink" Target="https://www.uxbiometriclab.com/current-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Bacic</dc:creator>
  <cp:keywords/>
  <dc:description/>
  <cp:lastModifiedBy>Dinko Bacic</cp:lastModifiedBy>
  <cp:revision>1</cp:revision>
  <dcterms:created xsi:type="dcterms:W3CDTF">2026-05-31T09:25:00Z</dcterms:created>
  <dcterms:modified xsi:type="dcterms:W3CDTF">2026-05-31T09:49:00Z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20c52514-e8df-4dab-b633-2ae930f526f2</vt:lpwstr>
  </property>
</Properties>
</file>